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1"/>
        <w:tblW w:type="auto" w:w="0"/>
        <w:tblLook w:firstColumn="1" w:firstRow="1" w:lastColumn="0" w:lastRow="0" w:noHBand="0" w:noVBand="1" w:val="04A0"/>
      </w:tblPr>
      <w:tblGrid>
        <w:gridCol w:w="2351"/>
        <w:gridCol w:w="2351"/>
        <w:gridCol w:w="2351"/>
        <w:gridCol w:w="2351"/>
      </w:tblGrid>
      <w:tr>
        <w:tc>
          <w:tcPr>
            <w:tcW w:type="dxa" w:w="2351"/>
          </w:tcPr>
          <w:p>
            <w:r>
              <w:t>Codigo:</w:t>
            </w:r>
          </w:p>
        </w:tc>
        <w:tc>
          <w:tcPr>
            <w:tcW w:type="dxa" w:w="2351"/>
          </w:tcPr>
          <w:p>
            <w:r>
              <w:t>PROC-DC-001</w:t>
            </w:r>
          </w:p>
        </w:tc>
        <w:tc>
          <w:tcPr>
            <w:tcW w:type="dxa" w:w="2351"/>
          </w:tcPr>
          <w:p>
            <w:r>
              <w:t>Version:</w:t>
            </w:r>
          </w:p>
        </w:tc>
        <w:tc>
          <w:tcPr>
            <w:tcW w:type="dxa" w:w="2351"/>
          </w:tcPr>
          <w:p>
            <w:r>
              <w:t>1.0</w:t>
            </w:r>
          </w:p>
        </w:tc>
      </w:tr>
    </w:tbl>
    <w:tbl>
      <w:tblPr>
        <w:tblStyle w:val="LightGrid-Accent1"/>
        <w:tblW w:type="auto" w:w="0"/>
        <w:tblLook w:firstColumn="1" w:firstRow="1" w:lastColumn="0" w:lastRow="0" w:noHBand="0" w:noVBand="1" w:val="04A0"/>
      </w:tblPr>
      <w:tblGrid>
        <w:gridCol w:w="2351"/>
        <w:gridCol w:w="2351"/>
        <w:gridCol w:w="2351"/>
        <w:gridCol w:w="2351"/>
      </w:tblGrid>
      <w:tr>
        <w:tc>
          <w:tcPr>
            <w:tcW w:type="dxa" w:w="2351"/>
          </w:tcPr>
          <w:p>
            <w:r>
              <w:t>Fecha:</w:t>
            </w:r>
          </w:p>
        </w:tc>
        <w:tc>
          <w:tcPr>
            <w:tcW w:type="dxa" w:w="2351"/>
          </w:tcPr>
          <w:p>
            <w:r>
              <w:t>DD/MM/AAAA</w:t>
            </w:r>
          </w:p>
        </w:tc>
        <w:tc>
          <w:tcPr>
            <w:tcW w:type="dxa" w:w="2351"/>
          </w:tcPr>
          <w:p>
            <w:r>
              <w:t>Pagina:</w:t>
            </w:r>
          </w:p>
        </w:tc>
        <w:tc>
          <w:tcPr>
            <w:tcW w:type="dxa" w:w="2351"/>
          </w:tcPr>
          <w:p>
            <w:r>
              <w:t>1 de N</w:t>
            </w:r>
          </w:p>
        </w:tc>
      </w:tr>
    </w:tbl>
    <w:p>
      <w:pPr>
        <w:pStyle w:val="Title"/>
        <w:jc w:val="center"/>
      </w:pPr>
      <w:r>
        <w:t>PROCEDIMIENTO DE CONTROL DOCUMENTAL</w:t>
      </w:r>
    </w:p>
    <w:p>
      <w:pPr>
        <w:jc w:val="center"/>
      </w:pPr>
      <w:r>
        <w:rPr>
          <w:i/>
          <w:sz w:val="20"/>
        </w:rPr>
        <w:t>Sistema de Gestion de Calidad — ISO 9001 §7.5 / ISO 13485:2016 §4.2.4</w:t>
      </w:r>
    </w:p>
    <w:p/>
    <w:p>
      <w:pPr>
        <w:pStyle w:val="Heading2"/>
      </w:pPr>
      <w:r>
        <w:t>Tabla de control de aprobaciones</w:t>
      </w:r>
    </w:p>
    <w:tbl>
      <w:tblPr>
        <w:tblStyle w:val="LightGrid-Accent1"/>
        <w:tblW w:type="auto" w:w="0"/>
        <w:tblLook w:firstColumn="1" w:firstRow="1" w:lastColumn="0" w:lastRow="0" w:noHBand="0" w:noVBand="1" w:val="04A0"/>
      </w:tblPr>
      <w:tblGrid>
        <w:gridCol w:w="2351"/>
        <w:gridCol w:w="2351"/>
        <w:gridCol w:w="2351"/>
        <w:gridCol w:w="2351"/>
      </w:tblGrid>
      <w:tr>
        <w:tc>
          <w:tcPr>
            <w:tcW w:type="dxa" w:w="2351"/>
          </w:tcPr>
          <w:p>
            <w:r>
              <w:rPr>
                <w:b/>
              </w:rPr>
              <w:t>Accion</w:t>
            </w:r>
          </w:p>
        </w:tc>
        <w:tc>
          <w:tcPr>
            <w:tcW w:type="dxa" w:w="2351"/>
          </w:tcPr>
          <w:p>
            <w:r>
              <w:rPr>
                <w:b/>
              </w:rPr>
              <w:t>Nombre</w:t>
            </w:r>
          </w:p>
        </w:tc>
        <w:tc>
          <w:tcPr>
            <w:tcW w:type="dxa" w:w="2351"/>
          </w:tcPr>
          <w:p>
            <w:r>
              <w:rPr>
                <w:b/>
              </w:rPr>
              <w:t>Cargo</w:t>
            </w:r>
          </w:p>
        </w:tc>
        <w:tc>
          <w:tcPr>
            <w:tcW w:type="dxa" w:w="2351"/>
          </w:tcPr>
          <w:p>
            <w:r>
              <w:rPr>
                <w:b/>
              </w:rPr>
              <w:t>Firma / Fecha</w:t>
            </w:r>
          </w:p>
        </w:tc>
      </w:tr>
      <w:tr>
        <w:tc>
          <w:tcPr>
            <w:tcW w:type="dxa" w:w="2351"/>
          </w:tcPr>
          <w:p>
            <w:r>
              <w:t>Elaborado por</w:t>
            </w:r>
          </w:p>
        </w:tc>
        <w:tc>
          <w:tcPr>
            <w:tcW w:type="dxa" w:w="2351"/>
          </w:tcPr>
          <w:p/>
        </w:tc>
        <w:tc>
          <w:tcPr>
            <w:tcW w:type="dxa" w:w="2351"/>
          </w:tcPr>
          <w:p/>
        </w:tc>
        <w:tc>
          <w:tcPr>
            <w:tcW w:type="dxa" w:w="2351"/>
          </w:tcPr>
          <w:p/>
        </w:tc>
      </w:tr>
      <w:tr>
        <w:tc>
          <w:tcPr>
            <w:tcW w:type="dxa" w:w="2351"/>
          </w:tcPr>
          <w:p>
            <w:r>
              <w:t>Revisado por</w:t>
            </w:r>
          </w:p>
        </w:tc>
        <w:tc>
          <w:tcPr>
            <w:tcW w:type="dxa" w:w="2351"/>
          </w:tcPr>
          <w:p/>
        </w:tc>
        <w:tc>
          <w:tcPr>
            <w:tcW w:type="dxa" w:w="2351"/>
          </w:tcPr>
          <w:p/>
        </w:tc>
        <w:tc>
          <w:tcPr>
            <w:tcW w:type="dxa" w:w="2351"/>
          </w:tcPr>
          <w:p/>
        </w:tc>
      </w:tr>
      <w:tr>
        <w:tc>
          <w:tcPr>
            <w:tcW w:type="dxa" w:w="2351"/>
          </w:tcPr>
          <w:p>
            <w:r>
              <w:t>Aprobado por</w:t>
            </w:r>
          </w:p>
        </w:tc>
        <w:tc>
          <w:tcPr>
            <w:tcW w:type="dxa" w:w="2351"/>
          </w:tcPr>
          <w:p/>
        </w:tc>
        <w:tc>
          <w:tcPr>
            <w:tcW w:type="dxa" w:w="2351"/>
          </w:tcPr>
          <w:p/>
        </w:tc>
        <w:tc>
          <w:tcPr>
            <w:tcW w:type="dxa" w:w="2351"/>
          </w:tcPr>
          <w:p/>
        </w:tc>
      </w:tr>
    </w:tbl>
    <w:p/>
    <w:p>
      <w:pPr>
        <w:pStyle w:val="Heading2"/>
      </w:pPr>
      <w:r>
        <w:t>Historial de cambios</w:t>
      </w:r>
    </w:p>
    <w:tbl>
      <w:tblPr>
        <w:tblStyle w:val="LightGrid-Accent1"/>
        <w:tblW w:type="auto" w:w="0"/>
        <w:tblLook w:firstColumn="1" w:firstRow="1" w:lastColumn="0" w:lastRow="0" w:noHBand="0" w:noVBand="1" w:val="04A0"/>
      </w:tblPr>
      <w:tblGrid>
        <w:gridCol w:w="2351"/>
        <w:gridCol w:w="2351"/>
        <w:gridCol w:w="2351"/>
        <w:gridCol w:w="2351"/>
      </w:tblGrid>
      <w:tr>
        <w:tc>
          <w:tcPr>
            <w:tcW w:type="dxa" w:w="2351"/>
          </w:tcPr>
          <w:p>
            <w:r>
              <w:rPr>
                <w:b/>
              </w:rPr>
              <w:t>Version</w:t>
            </w:r>
          </w:p>
        </w:tc>
        <w:tc>
          <w:tcPr>
            <w:tcW w:type="dxa" w:w="2351"/>
          </w:tcPr>
          <w:p>
            <w:r>
              <w:rPr>
                <w:b/>
              </w:rPr>
              <w:t>Fecha</w:t>
            </w:r>
          </w:p>
        </w:tc>
        <w:tc>
          <w:tcPr>
            <w:tcW w:type="dxa" w:w="2351"/>
          </w:tcPr>
          <w:p>
            <w:r>
              <w:rPr>
                <w:b/>
              </w:rPr>
              <w:t>Descripcion del cambio</w:t>
            </w:r>
          </w:p>
        </w:tc>
        <w:tc>
          <w:tcPr>
            <w:tcW w:type="dxa" w:w="2351"/>
          </w:tcPr>
          <w:p>
            <w:r>
              <w:rPr>
                <w:b/>
              </w:rPr>
              <w:t>Autor</w:t>
            </w:r>
          </w:p>
        </w:tc>
      </w:tr>
      <w:tr>
        <w:tc>
          <w:tcPr>
            <w:tcW w:type="dxa" w:w="2351"/>
          </w:tcPr>
          <w:p>
            <w:r>
              <w:t>1.0</w:t>
            </w:r>
          </w:p>
        </w:tc>
        <w:tc>
          <w:tcPr>
            <w:tcW w:type="dxa" w:w="2351"/>
          </w:tcPr>
          <w:p>
            <w:r>
              <w:t>DD/MM/AAAA</w:t>
            </w:r>
          </w:p>
        </w:tc>
        <w:tc>
          <w:tcPr>
            <w:tcW w:type="dxa" w:w="2351"/>
          </w:tcPr>
          <w:p>
            <w:r>
              <w:t>Version inicial.</w:t>
            </w:r>
          </w:p>
        </w:tc>
        <w:tc>
          <w:tcPr>
            <w:tcW w:type="dxa" w:w="2351"/>
          </w:tcPr>
          <w:p>
            <w:r>
              <w:t>—</w:t>
            </w:r>
          </w:p>
        </w:tc>
      </w:tr>
    </w:tbl>
    <w:p>
      <w:r>
        <w:br w:type="page"/>
      </w:r>
    </w:p>
    <w:p>
      <w:pPr>
        <w:pStyle w:val="Heading1"/>
      </w:pPr>
      <w:r>
        <w:t>1. Objetivo</w:t>
      </w:r>
    </w:p>
    <w:p>
      <w:r>
        <w:t>Establecer la metodologia para la elaboracion, revision, aprobacion, identificacion, distribucion, control de cambios, retencion y disposicion de la informacion documentada que forma parte del Sistema de Gestion de Calidad (SGC) de la organizacion, conforme a los requisitos de la norma ISO 9001:2015 (clausula 7.5) y, cuando aplique, ISO 13485:2016 (clausula 4.2).</w:t>
      </w:r>
    </w:p>
    <w:p>
      <w:pPr>
        <w:pStyle w:val="Heading1"/>
      </w:pPr>
      <w:r>
        <w:t>2. Alcance</w:t>
      </w:r>
    </w:p>
    <w:p>
      <w:r>
        <w:t>Este procedimiento aplica a TODA la informacion documentada interna y externa del SGC, incluyendo:</w:t>
      </w:r>
    </w:p>
    <w:p>
      <w:pPr>
        <w:pStyle w:val="ListBullet"/>
      </w:pPr>
      <w:r>
        <w:t>Manual de calidad y declaraciones de politica.</w:t>
      </w:r>
    </w:p>
    <w:p>
      <w:pPr>
        <w:pStyle w:val="ListBullet"/>
      </w:pPr>
      <w:r>
        <w:t>Procedimientos generales (PROC-XX-NNN).</w:t>
      </w:r>
    </w:p>
    <w:p>
      <w:pPr>
        <w:pStyle w:val="ListBullet"/>
      </w:pPr>
      <w:r>
        <w:t>Instructivos de trabajo (INS-XX-NNN).</w:t>
      </w:r>
    </w:p>
    <w:p>
      <w:pPr>
        <w:pStyle w:val="ListBullet"/>
      </w:pPr>
      <w:r>
        <w:t>Registros (REG-XX-NNN).</w:t>
      </w:r>
    </w:p>
    <w:p>
      <w:pPr>
        <w:pStyle w:val="ListBullet"/>
      </w:pPr>
      <w:r>
        <w:t>Formularios (FOR-XX-NNN).</w:t>
      </w:r>
    </w:p>
    <w:p>
      <w:pPr>
        <w:pStyle w:val="ListBullet"/>
      </w:pPr>
      <w:r>
        <w:t>Documentos externos relevantes (normas, leyes, guias regulatorias).</w:t>
      </w:r>
    </w:p>
    <w:p>
      <w:pPr>
        <w:pStyle w:val="ListBullet"/>
      </w:pPr>
      <w:r>
        <w:t>Especificaciones de productos y procesos.</w:t>
      </w:r>
    </w:p>
    <w:p>
      <w:pPr>
        <w:pStyle w:val="Heading1"/>
      </w:pPr>
      <w:r>
        <w:t>3. Responsabilidades</w:t>
      </w:r>
    </w:p>
    <w:tbl>
      <w:tblPr>
        <w:tblStyle w:val="LightGrid-Accent1"/>
        <w:tblW w:type="auto" w:w="0"/>
        <w:tblLook w:firstColumn="1" w:firstRow="1" w:lastColumn="0" w:lastRow="0" w:noHBand="0" w:noVBand="1" w:val="04A0"/>
      </w:tblPr>
      <w:tblGrid>
        <w:gridCol w:w="4703"/>
        <w:gridCol w:w="4703"/>
      </w:tblGrid>
      <w:tr>
        <w:tc>
          <w:tcPr>
            <w:tcW w:type="dxa" w:w="4703"/>
          </w:tcPr>
          <w:p>
            <w:r>
              <w:rPr>
                <w:b/>
              </w:rPr>
              <w:t>Rol</w:t>
            </w:r>
          </w:p>
        </w:tc>
        <w:tc>
          <w:tcPr>
            <w:tcW w:type="dxa" w:w="4703"/>
          </w:tcPr>
          <w:p>
            <w:r>
              <w:rPr>
                <w:b/>
              </w:rPr>
              <w:t>Responsabilidad</w:t>
            </w:r>
          </w:p>
        </w:tc>
      </w:tr>
      <w:tr>
        <w:tc>
          <w:tcPr>
            <w:tcW w:type="dxa" w:w="4703"/>
          </w:tcPr>
          <w:p>
            <w:r>
              <w:t>Autor / Responsable de proceso</w:t>
            </w:r>
          </w:p>
        </w:tc>
        <w:tc>
          <w:tcPr>
            <w:tcW w:type="dxa" w:w="4703"/>
          </w:tcPr>
          <w:p>
            <w:r>
              <w:t>Elaborar y mantener actualizado el documento dentro de su area.</w:t>
            </w:r>
          </w:p>
        </w:tc>
      </w:tr>
      <w:tr>
        <w:tc>
          <w:tcPr>
            <w:tcW w:type="dxa" w:w="4703"/>
          </w:tcPr>
          <w:p>
            <w:r>
              <w:t>Revisor tecnico</w:t>
            </w:r>
          </w:p>
        </w:tc>
        <w:tc>
          <w:tcPr>
            <w:tcW w:type="dxa" w:w="4703"/>
          </w:tcPr>
          <w:p>
            <w:r>
              <w:t>Verificar contenido tecnico y consistencia con otros documentos del SGC.</w:t>
            </w:r>
          </w:p>
        </w:tc>
      </w:tr>
      <w:tr>
        <w:tc>
          <w:tcPr>
            <w:tcW w:type="dxa" w:w="4703"/>
          </w:tcPr>
          <w:p>
            <w:r>
              <w:t>Aprobador (gerencia / RC)</w:t>
            </w:r>
          </w:p>
        </w:tc>
        <w:tc>
          <w:tcPr>
            <w:tcW w:type="dxa" w:w="4703"/>
          </w:tcPr>
          <w:p>
            <w:r>
              <w:t>Autorizar la publicacion del documento.</w:t>
            </w:r>
          </w:p>
        </w:tc>
      </w:tr>
      <w:tr>
        <w:tc>
          <w:tcPr>
            <w:tcW w:type="dxa" w:w="4703"/>
          </w:tcPr>
          <w:p>
            <w:r>
              <w:t>Responsable de Calidad</w:t>
            </w:r>
          </w:p>
        </w:tc>
        <w:tc>
          <w:tcPr>
            <w:tcW w:type="dxa" w:w="4703"/>
          </w:tcPr>
          <w:p>
            <w:r>
              <w:t>Mantener la lista maestra, distribuir, conservar versiones obsoletas y velar por la integridad del control documental.</w:t>
            </w:r>
          </w:p>
        </w:tc>
      </w:tr>
    </w:tbl>
    <w:p>
      <w:pPr>
        <w:pStyle w:val="Heading1"/>
      </w:pPr>
      <w:r>
        <w:t>4. Definiciones y abreviaturas</w:t>
      </w:r>
    </w:p>
    <w:p>
      <w:pPr>
        <w:pStyle w:val="ListBullet"/>
      </w:pPr>
      <w:r>
        <w:rPr>
          <w:b/>
        </w:rPr>
        <w:t xml:space="preserve">SGC: </w:t>
      </w:r>
      <w:r>
        <w:t>Sistema de Gestion de Calidad.</w:t>
      </w:r>
    </w:p>
    <w:p>
      <w:pPr>
        <w:pStyle w:val="ListBullet"/>
      </w:pPr>
      <w:r>
        <w:rPr>
          <w:b/>
        </w:rPr>
        <w:t xml:space="preserve">Documento controlado: </w:t>
      </w:r>
      <w:r>
        <w:t>Documento del SGC sometido a las reglas de este procedimiento.</w:t>
      </w:r>
    </w:p>
    <w:p>
      <w:pPr>
        <w:pStyle w:val="ListBullet"/>
      </w:pPr>
      <w:r>
        <w:rPr>
          <w:b/>
        </w:rPr>
        <w:t xml:space="preserve">Documento externo: </w:t>
      </w:r>
      <w:r>
        <w:t>Norma, ley, guia o documento de terceros referenciado en el SGC.</w:t>
      </w:r>
    </w:p>
    <w:p>
      <w:pPr>
        <w:pStyle w:val="ListBullet"/>
      </w:pPr>
      <w:r>
        <w:rPr>
          <w:b/>
        </w:rPr>
        <w:t xml:space="preserve">Documento obsoleto: </w:t>
      </w:r>
      <w:r>
        <w:t>Documento que ha sido reemplazado por una version posterior pero que se conserva por trazabilidad.</w:t>
      </w:r>
    </w:p>
    <w:p>
      <w:pPr>
        <w:pStyle w:val="ListBullet"/>
      </w:pPr>
      <w:r>
        <w:rPr>
          <w:b/>
        </w:rPr>
        <w:t xml:space="preserve">Lista maestra: </w:t>
      </w:r>
      <w:r>
        <w:t>Registro consolidado de todos los documentos vigentes con su version actual.</w:t>
      </w:r>
    </w:p>
    <w:p>
      <w:pPr>
        <w:pStyle w:val="ListBullet"/>
      </w:pPr>
      <w:r>
        <w:rPr>
          <w:b/>
        </w:rPr>
        <w:t xml:space="preserve">Version: </w:t>
      </w:r>
      <w:r>
        <w:t>Identificador correlativo X.Y donde X es revision mayor y Y revision menor.</w:t>
      </w:r>
    </w:p>
    <w:p>
      <w:pPr>
        <w:pStyle w:val="Heading1"/>
      </w:pPr>
      <w:r>
        <w:t>5. Desarrollo</w:t>
      </w:r>
    </w:p>
    <w:p>
      <w:pPr>
        <w:pStyle w:val="Heading2"/>
      </w:pPr>
      <w:r>
        <w:t>5.1 Elaboracion</w:t>
      </w:r>
    </w:p>
    <w:p>
      <w:r>
        <w:t>El autor utiliza la plantilla maestra correspondiente al tipo de documento. El codigo se asigna segun la nomenclatura definida en 5.2. La version inicial es siempre 1.0. El estado del documento es 'En elaboracion' hasta su aprobacion.</w:t>
      </w:r>
    </w:p>
    <w:p>
      <w:pPr>
        <w:pStyle w:val="Heading2"/>
      </w:pPr>
      <w:r>
        <w:t>5.2 Codificacion</w:t>
      </w:r>
    </w:p>
    <w:p>
      <w:r>
        <w:t>Todos los documentos siguen la nomenclatura TIPO-AREA-NNN donde:</w:t>
      </w:r>
    </w:p>
    <w:p>
      <w:pPr>
        <w:pStyle w:val="ListBullet"/>
      </w:pPr>
      <w:r>
        <w:t>TIPO: PROC (procedimiento), INS (instructivo), REG (registro), FOR (formulario), MAN (manual).</w:t>
      </w:r>
    </w:p>
    <w:p>
      <w:pPr>
        <w:pStyle w:val="ListBullet"/>
      </w:pPr>
      <w:r>
        <w:t>AREA: codigo de 2 letras (DC = documental, CL = calidad, OP = operaciones, etc.).</w:t>
      </w:r>
    </w:p>
    <w:p>
      <w:pPr>
        <w:pStyle w:val="ListBullet"/>
      </w:pPr>
      <w:r>
        <w:t>NNN: correlativo de 3 digitos asignado por el Responsable de Calidad.</w:t>
      </w:r>
    </w:p>
    <w:p>
      <w:pPr>
        <w:pStyle w:val="Heading2"/>
      </w:pPr>
      <w:r>
        <w:t>5.3 Revision tecnica</w:t>
      </w:r>
    </w:p>
    <w:p>
      <w:r>
        <w:t>El autor envia el documento al revisor tecnico designado por el Responsable de Calidad. El revisor verifica: contenido tecnico, coherencia con otros documentos del SGC, alineamiento con la norma aplicable y claridad de redaccion. El revisor puede aprobar, aprobar con cambios menores o rechazar con observaciones.</w:t>
      </w:r>
    </w:p>
    <w:p>
      <w:pPr>
        <w:pStyle w:val="Heading2"/>
      </w:pPr>
      <w:r>
        <w:t>5.4 Aprobacion</w:t>
      </w:r>
    </w:p>
    <w:p>
      <w:r>
        <w:t>Una vez incorporados los cambios del revisor, el documento se envia al aprobador (gerencia general o responsable de calidad, segun el tipo). La aprobacion queda registrada con firma electronica o manual en la tabla de control del documento.</w:t>
      </w:r>
    </w:p>
    <w:p>
      <w:pPr>
        <w:pStyle w:val="Heading2"/>
      </w:pPr>
      <w:r>
        <w:t>5.5 Publicacion y distribucion</w:t>
      </w:r>
    </w:p>
    <w:p>
      <w:r>
        <w:t>Una vez aprobado, el documento se publica en el repositorio oficial del SGC. Se actualiza la lista maestra con la nueva version. La distribucion a los usuarios del documento ocurre por notificacion automatica del sistema o, en ausencia de este, por correo electronico documentado.</w:t>
      </w:r>
    </w:p>
    <w:p>
      <w:pPr>
        <w:pStyle w:val="Heading2"/>
      </w:pPr>
      <w:r>
        <w:t>5.6 Control de cambios</w:t>
      </w:r>
    </w:p>
    <w:p>
      <w:r>
        <w:t>Cuando un documento requiere modificacion, se sigue el mismo flujo (5.1 a 5.5) con la version incrementada. El registro de cambios se documenta en la tabla de historial al inicio de cada documento. Cambios menores (correcciones tipograficas, actualizaciones de referencias) se asignan a version X.Y+1. Cambios mayores (modificacion sustantiva de contenido) se asignan a X+1.0.</w:t>
      </w:r>
    </w:p>
    <w:p>
      <w:pPr>
        <w:pStyle w:val="Heading2"/>
      </w:pPr>
      <w:r>
        <w:t>5.7 Documentos externos</w:t>
      </w:r>
    </w:p>
    <w:p>
      <w:r>
        <w:t>Las normas, leyes y guias externas se incorporan a la lista maestra como 'documento externo'. El Responsable de Calidad revisa al menos anualmente que las versiones registradas correspondan a las vigentes y actualiza si hay cambios.</w:t>
      </w:r>
    </w:p>
    <w:p>
      <w:pPr>
        <w:pStyle w:val="Heading2"/>
      </w:pPr>
      <w:r>
        <w:t>5.8 Documentos obsoletos</w:t>
      </w:r>
    </w:p>
    <w:p>
      <w:r>
        <w:t>Cuando un documento se reemplaza por una nueva version, la version anterior se marca como 'obsoleta' y se archiva en una carpeta especifica con acceso restringido. Los documentos obsoletos se conservan minimo 6 anos despues de su retiro (o lo que exija la regulacion aplicable, lo que sea mayor).</w:t>
      </w:r>
    </w:p>
    <w:p>
      <w:pPr>
        <w:pStyle w:val="Heading2"/>
      </w:pPr>
      <w:r>
        <w:t>5.9 Retencion y disposicion final</w:t>
      </w:r>
    </w:p>
    <w:p>
      <w:r>
        <w:t>Los documentos del SGC se conservan segun la siguiente tabla:</w:t>
      </w:r>
    </w:p>
    <w:tbl>
      <w:tblPr>
        <w:tblStyle w:val="LightGrid-Accent1"/>
        <w:tblW w:type="auto" w:w="0"/>
        <w:tblLook w:firstColumn="1" w:firstRow="1" w:lastColumn="0" w:lastRow="0" w:noHBand="0" w:noVBand="1" w:val="04A0"/>
      </w:tblPr>
      <w:tblGrid>
        <w:gridCol w:w="4703"/>
        <w:gridCol w:w="4703"/>
      </w:tblGrid>
      <w:tr>
        <w:tc>
          <w:tcPr>
            <w:tcW w:type="dxa" w:w="4703"/>
          </w:tcPr>
          <w:p>
            <w:r>
              <w:rPr>
                <w:b/>
              </w:rPr>
              <w:t>Tipo de documento</w:t>
            </w:r>
          </w:p>
        </w:tc>
        <w:tc>
          <w:tcPr>
            <w:tcW w:type="dxa" w:w="4703"/>
          </w:tcPr>
          <w:p>
            <w:r>
              <w:rPr>
                <w:b/>
              </w:rPr>
              <w:t>Tiempo de retencion</w:t>
            </w:r>
          </w:p>
        </w:tc>
      </w:tr>
      <w:tr>
        <w:tc>
          <w:tcPr>
            <w:tcW w:type="dxa" w:w="4703"/>
          </w:tcPr>
          <w:p>
            <w:r>
              <w:t>Manuales y politicas</w:t>
            </w:r>
          </w:p>
        </w:tc>
        <w:tc>
          <w:tcPr>
            <w:tcW w:type="dxa" w:w="4703"/>
          </w:tcPr>
          <w:p>
            <w:r>
              <w:t>Indefinido (mientras este vigente la empresa)</w:t>
            </w:r>
          </w:p>
        </w:tc>
      </w:tr>
      <w:tr>
        <w:tc>
          <w:tcPr>
            <w:tcW w:type="dxa" w:w="4703"/>
          </w:tcPr>
          <w:p>
            <w:r>
              <w:t>Procedimientos / Instructivos</w:t>
            </w:r>
          </w:p>
        </w:tc>
        <w:tc>
          <w:tcPr>
            <w:tcW w:type="dxa" w:w="4703"/>
          </w:tcPr>
          <w:p>
            <w:r>
              <w:t>6 anos despues de su retiro</w:t>
            </w:r>
          </w:p>
        </w:tc>
      </w:tr>
      <w:tr>
        <w:tc>
          <w:tcPr>
            <w:tcW w:type="dxa" w:w="4703"/>
          </w:tcPr>
          <w:p>
            <w:r>
              <w:t>Registros operativos</w:t>
            </w:r>
          </w:p>
        </w:tc>
        <w:tc>
          <w:tcPr>
            <w:tcW w:type="dxa" w:w="4703"/>
          </w:tcPr>
          <w:p>
            <w:r>
              <w:t>5 anos desde su generacion</w:t>
            </w:r>
          </w:p>
        </w:tc>
      </w:tr>
      <w:tr>
        <w:tc>
          <w:tcPr>
            <w:tcW w:type="dxa" w:w="4703"/>
          </w:tcPr>
          <w:p>
            <w:r>
              <w:t>Registros regulatorios criticos</w:t>
            </w:r>
          </w:p>
        </w:tc>
        <w:tc>
          <w:tcPr>
            <w:tcW w:type="dxa" w:w="4703"/>
          </w:tcPr>
          <w:p>
            <w:r>
              <w:t>Hasta 15 anos (segun ISP y regulacion vigente)</w:t>
            </w:r>
          </w:p>
        </w:tc>
      </w:tr>
    </w:tbl>
    <w:p>
      <w:pPr>
        <w:pStyle w:val="Heading1"/>
      </w:pPr>
      <w:r>
        <w:t>6. Documentos relacionados</w:t>
      </w:r>
    </w:p>
    <w:p>
      <w:pPr>
        <w:pStyle w:val="ListBullet"/>
      </w:pPr>
      <w:r>
        <w:t>MAN-CL-001 — Manual de Calidad.</w:t>
      </w:r>
    </w:p>
    <w:p>
      <w:pPr>
        <w:pStyle w:val="ListBullet"/>
      </w:pPr>
      <w:r>
        <w:t>PROC-CL-002 — Procedimiento de auditorias internas.</w:t>
      </w:r>
    </w:p>
    <w:p>
      <w:pPr>
        <w:pStyle w:val="ListBullet"/>
      </w:pPr>
      <w:r>
        <w:t>PROC-CL-003 — Procedimiento de no conformidades y acciones correctivas.</w:t>
      </w:r>
    </w:p>
    <w:p>
      <w:pPr>
        <w:pStyle w:val="ListBullet"/>
      </w:pPr>
      <w:r>
        <w:t>REG-DC-001 — Lista maestra de documentos.</w:t>
      </w:r>
    </w:p>
    <w:p>
      <w:pPr>
        <w:pStyle w:val="ListBullet"/>
      </w:pPr>
      <w:r>
        <w:t>FOR-DC-001 — Solicitud de creacion/modificacion de documento.</w:t>
      </w:r>
    </w:p>
    <w:p>
      <w:pPr>
        <w:pStyle w:val="Heading1"/>
      </w:pPr>
      <w:r>
        <w:t>7. Referencias normativas</w:t>
      </w:r>
    </w:p>
    <w:p>
      <w:pPr>
        <w:pStyle w:val="ListBullet"/>
      </w:pPr>
      <w:r>
        <w:t>ISO 9001:2015 — Sistemas de gestion de calidad. Requisitos.</w:t>
      </w:r>
    </w:p>
    <w:p>
      <w:pPr>
        <w:pStyle w:val="ListBullet"/>
      </w:pPr>
      <w:r>
        <w:t>ISO 13485:2016 — Productos sanitarios. Sistemas de gestion de calidad.</w:t>
      </w:r>
    </w:p>
    <w:p>
      <w:pPr>
        <w:pStyle w:val="ListBullet"/>
      </w:pPr>
      <w:r>
        <w:t>ISO 9000:2015 — Vocabulario y conceptos basicos.</w:t>
      </w:r>
    </w:p>
    <w:p>
      <w:pPr>
        <w:pStyle w:val="ListBullet"/>
      </w:pPr>
      <w:r>
        <w:t>NT-147 — Norma Tecnica del Instituto de Salud Publica de Chile.</w:t>
      </w:r>
    </w:p>
    <w:p>
      <w:pPr>
        <w:pStyle w:val="Heading1"/>
      </w:pPr>
      <w:r>
        <w:t>8. Anexos</w:t>
      </w:r>
    </w:p>
    <w:p>
      <w:pPr>
        <w:pStyle w:val="ListNumber"/>
      </w:pPr>
      <w:r>
        <w:t>Anexo A — Formato de Lista Maestra de Documentos (REG-DC-001).</w:t>
      </w:r>
    </w:p>
    <w:p>
      <w:pPr>
        <w:pStyle w:val="ListNumber"/>
      </w:pPr>
      <w:r>
        <w:t>Anexo B — Flujograma del flujo de control documental.</w:t>
      </w:r>
    </w:p>
    <w:p>
      <w:pPr>
        <w:pStyle w:val="ListNumber"/>
      </w:pPr>
      <w:r>
        <w:t>Anexo C — Plantilla de Solicitud de Cambio Documental (FOR-DC-001).</w:t>
      </w:r>
    </w:p>
    <w:p/>
    <w:p>
      <w:pPr>
        <w:jc w:val="center"/>
      </w:pPr>
      <w:r>
        <w:rPr>
          <w:i/>
          <w:color w:val="4A6070"/>
          <w:sz w:val="18"/>
        </w:rPr>
        <w:t>Plantilla cortesia de Lahr Nexa SPA — lahrnexa.cl</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