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Checklist — Visita técnica en terreno</w:t>
      </w:r>
    </w:p>
    <w:p>
      <w:r>
        <w:t>Lahr Nexa Suite — FIELD | PWA mobile-first para servicio técnico</w:t>
      </w:r>
    </w:p>
    <w:p/>
    <w:p>
      <w:pPr>
        <w:pStyle w:val="Heading1"/>
      </w:pPr>
      <w:r>
        <w:t>Identificación de la visita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N° de ticket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Fecha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Cliente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Dirección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Técnico responsable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Hora de llegada / salida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1. Antes de la visita</w:t>
      </w:r>
    </w:p>
    <w:p>
      <w:pPr>
        <w:pStyle w:val="ListBullet"/>
      </w:pPr>
      <w:r>
        <w:t>☐ Confirmar dirección y datos de contacto con el cliente</w:t>
      </w:r>
    </w:p>
    <w:p>
      <w:pPr>
        <w:pStyle w:val="ListBullet"/>
      </w:pPr>
      <w:r>
        <w:t>☐ Cargar herramientas necesarias</w:t>
      </w:r>
    </w:p>
    <w:p>
      <w:pPr>
        <w:pStyle w:val="ListBullet"/>
      </w:pPr>
      <w:r>
        <w:t>☐ Verificar stock de repuestos en bodega FIELD</w:t>
      </w:r>
    </w:p>
    <w:p>
      <w:pPr>
        <w:pStyle w:val="ListBullet"/>
      </w:pPr>
      <w:r>
        <w:t>☐ Confirmar acceso al sitio (portería, EPP, charla 5 min si aplica)</w:t>
      </w:r>
    </w:p>
    <w:p>
      <w:pPr>
        <w:pStyle w:val="ListBullet"/>
      </w:pPr>
      <w:r>
        <w:t>☐ Descargar ticket al modo offline de la PWA</w:t>
      </w:r>
    </w:p>
    <w:p>
      <w:pPr>
        <w:pStyle w:val="Heading1"/>
      </w:pPr>
      <w:r>
        <w:t>2. En sitio — diagnóstico</w:t>
      </w:r>
    </w:p>
    <w:p>
      <w:pPr>
        <w:pStyle w:val="ListBullet"/>
      </w:pPr>
      <w:r>
        <w:t>☐ Foto antes de iniciar (PWA captura automática)</w:t>
      </w:r>
    </w:p>
    <w:p>
      <w:pPr>
        <w:pStyle w:val="ListBullet"/>
      </w:pPr>
      <w:r>
        <w:t>☐ Validar síntomas reportados</w:t>
      </w:r>
    </w:p>
    <w:p>
      <w:pPr>
        <w:pStyle w:val="ListBullet"/>
      </w:pPr>
      <w:r>
        <w:t>☐ Identificar causa raíz</w:t>
      </w:r>
    </w:p>
    <w:p>
      <w:pPr>
        <w:pStyle w:val="ListBullet"/>
      </w:pPr>
      <w:r>
        <w:t>☐ Estimar tiempo de reparación</w:t>
      </w:r>
    </w:p>
    <w:p>
      <w:pPr>
        <w:pStyle w:val="ListBullet"/>
      </w:pPr>
      <w:r>
        <w:t>☐ Confirmar con cliente alcance del trabajo</w:t>
      </w:r>
    </w:p>
    <w:p>
      <w:pPr>
        <w:pStyle w:val="Heading1"/>
      </w:pPr>
      <w:r>
        <w:t>3. Ejecución</w:t>
      </w:r>
    </w:p>
    <w:p>
      <w:pPr>
        <w:pStyle w:val="ListBullet"/>
      </w:pPr>
      <w:r>
        <w:t>☐ Trabajo realizado (descripción)</w:t>
      </w:r>
    </w:p>
    <w:p>
      <w:pPr>
        <w:pStyle w:val="ListBullet"/>
      </w:pPr>
      <w:r>
        <w:t>☐ Repuestos utilizados (códigos)</w:t>
      </w:r>
    </w:p>
    <w:p>
      <w:pPr>
        <w:pStyle w:val="ListBullet"/>
      </w:pPr>
      <w:r>
        <w:t>☐ Pruebas post-reparación</w:t>
      </w:r>
    </w:p>
    <w:p>
      <w:pPr>
        <w:pStyle w:val="ListBullet"/>
      </w:pPr>
      <w:r>
        <w:t>☐ Foto después (PWA captura automática)</w:t>
      </w:r>
    </w:p>
    <w:p>
      <w:pPr>
        <w:pStyle w:val="Heading1"/>
      </w:pPr>
      <w:r>
        <w:t>4. Cierre con el cliente</w:t>
      </w:r>
    </w:p>
    <w:p>
      <w:pPr>
        <w:pStyle w:val="ListBullet"/>
      </w:pPr>
      <w:r>
        <w:t>☐ Explicar trabajo realizado al cliente</w:t>
      </w:r>
    </w:p>
    <w:p>
      <w:pPr>
        <w:pStyle w:val="ListBullet"/>
      </w:pPr>
      <w:r>
        <w:t>☐ Capturar firma digital del cliente (PWA)</w:t>
      </w:r>
    </w:p>
    <w:p>
      <w:pPr>
        <w:pStyle w:val="ListBullet"/>
      </w:pPr>
      <w:r>
        <w:t>☐ Registrar NPS (0 a 10)</w:t>
      </w:r>
    </w:p>
    <w:p>
      <w:pPr>
        <w:pStyle w:val="ListBullet"/>
      </w:pPr>
      <w:r>
        <w:t>☐ Comentario abierto del cliente</w:t>
      </w:r>
    </w:p>
    <w:p>
      <w:pPr>
        <w:pStyle w:val="ListBullet"/>
      </w:pPr>
      <w:r>
        <w:t>☐ Enviar copia del informe por email automático</w:t>
      </w:r>
    </w:p>
    <w:p>
      <w:pPr>
        <w:pStyle w:val="Heading1"/>
      </w:pPr>
      <w:r>
        <w:t>5. Cierre administrativo (mismo día)</w:t>
      </w:r>
    </w:p>
    <w:p>
      <w:pPr>
        <w:pStyle w:val="ListBullet"/>
      </w:pPr>
      <w:r>
        <w:t>☐ Sincronizar PWA cuando vuelva la señal</w:t>
      </w:r>
    </w:p>
    <w:p>
      <w:pPr>
        <w:pStyle w:val="ListBullet"/>
      </w:pPr>
      <w:r>
        <w:t>☐ Validar que el ticket pasó a estado "Cerrado"</w:t>
      </w:r>
    </w:p>
    <w:p>
      <w:pPr>
        <w:pStyle w:val="ListBullet"/>
      </w:pPr>
      <w:r>
        <w:t>☐ Si hay venta cruzada, derivar a SALES</w:t>
      </w:r>
    </w:p>
    <w:p/>
    <w:p>
      <w:r>
        <w:t xml:space="preserve">© Lahr Nexa SPA — FIELD checklist offline-first — </w:t>
      </w:r>
      <w:r>
        <w:rPr>
          <w:i/>
        </w:rPr>
        <w:t>https://field.lahrnexa.cl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